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14:paraId="320769FC" w14:textId="77777777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14:paraId="30631CD6" w14:textId="23B26111" w:rsidR="00C57341" w:rsidRDefault="00F35E03" w:rsidP="00BB5EB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D53A97">
              <w:rPr>
                <w:b/>
              </w:rPr>
              <w:t xml:space="preserve">5 </w:t>
            </w:r>
            <w:r w:rsidR="00C57341">
              <w:rPr>
                <w:b/>
              </w:rPr>
              <w:t xml:space="preserve">:    </w:t>
            </w:r>
            <w:r w:rsidR="00BB5EB4">
              <w:rPr>
                <w:b/>
              </w:rPr>
              <w:t>Management de la connaissance</w:t>
            </w:r>
          </w:p>
        </w:tc>
        <w:tc>
          <w:tcPr>
            <w:tcW w:w="5387" w:type="dxa"/>
            <w:vAlign w:val="center"/>
          </w:tcPr>
          <w:p w14:paraId="65561242" w14:textId="77777777"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14:paraId="6179B3A0" w14:textId="77777777"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14:paraId="498FB683" w14:textId="77777777" w:rsidTr="006B5E52">
        <w:trPr>
          <w:cantSplit/>
          <w:trHeight w:hRule="exact" w:val="1209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4ECDB1E" w14:textId="77777777"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14:paraId="5D9EC724" w14:textId="791A585A" w:rsidR="00C57341" w:rsidRPr="006E40AD" w:rsidRDefault="00D53A97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5-3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4AA797" w14:textId="77777777"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14:paraId="5E0C1AD4" w14:textId="77777777" w:rsidR="00C57341" w:rsidRDefault="00B41392" w:rsidP="00B41392">
            <w:pPr>
              <w:spacing w:after="40"/>
              <w:ind w:left="72"/>
              <w:jc w:val="center"/>
            </w:pPr>
            <w:r>
              <w:rPr>
                <w:szCs w:val="28"/>
              </w:rPr>
              <w:t>Enjeux et réglementation de la formation</w:t>
            </w:r>
            <w:r w:rsidR="009E79EE">
              <w:rPr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16E2217" w14:textId="77777777"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14:paraId="491E957C" w14:textId="77777777" w:rsidR="00C57341" w:rsidRDefault="00DD4F53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35E03">
              <w:rPr>
                <w:sz w:val="24"/>
              </w:rPr>
              <w:t xml:space="preserve"> </w:t>
            </w:r>
            <w:r w:rsidR="009E79EE">
              <w:rPr>
                <w:sz w:val="24"/>
              </w:rPr>
              <w:t>jour</w:t>
            </w:r>
            <w:r>
              <w:rPr>
                <w:sz w:val="24"/>
              </w:rPr>
              <w:t>s</w:t>
            </w:r>
            <w:r w:rsidR="009C71C6">
              <w:rPr>
                <w:sz w:val="24"/>
              </w:rPr>
              <w:t xml:space="preserve"> </w:t>
            </w:r>
          </w:p>
          <w:p w14:paraId="35599AAD" w14:textId="77777777" w:rsidR="00C57341" w:rsidRDefault="00C57341" w:rsidP="00804464">
            <w:pPr>
              <w:spacing w:after="40"/>
              <w:jc w:val="center"/>
            </w:pPr>
          </w:p>
        </w:tc>
      </w:tr>
    </w:tbl>
    <w:p w14:paraId="2959AD5D" w14:textId="77777777"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14:paraId="27B04129" w14:textId="77777777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5C803B" w14:textId="77777777"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RPr="00C272FC" w14:paraId="77A8C5FF" w14:textId="77777777" w:rsidTr="000B0681">
        <w:trPr>
          <w:cantSplit/>
          <w:trHeight w:hRule="exact" w:val="2118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C080C3" w14:textId="77777777" w:rsidR="00C57341" w:rsidRPr="00C272FC" w:rsidRDefault="006E40AD" w:rsidP="00C272FC">
            <w:pPr>
              <w:tabs>
                <w:tab w:val="left" w:pos="4235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272FC">
              <w:rPr>
                <w:rFonts w:ascii="Arial" w:hAnsi="Arial" w:cs="Arial"/>
                <w:b/>
                <w:i/>
                <w:sz w:val="18"/>
                <w:szCs w:val="18"/>
              </w:rPr>
              <w:t>Á</w:t>
            </w:r>
            <w:r w:rsidR="00C57341" w:rsidRPr="00C272FC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l'issue de la formation décrite ici, le stagiaire doit </w:t>
            </w:r>
            <w:r w:rsidR="00C57341" w:rsidRPr="00C272F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7187B88" w14:textId="224C1033" w:rsidR="00DD4F53" w:rsidRPr="00DD4F53" w:rsidRDefault="00DD4F53" w:rsidP="009E79EE">
            <w:pPr>
              <w:pStyle w:val="NormalWeb"/>
              <w:numPr>
                <w:ilvl w:val="0"/>
                <w:numId w:val="29"/>
              </w:numPr>
              <w:rPr>
                <w:rStyle w:val="lev"/>
                <w:b w:val="0"/>
                <w:sz w:val="18"/>
                <w:szCs w:val="18"/>
              </w:rPr>
            </w:pPr>
            <w:r w:rsidRPr="00DD4F53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Comprendre les enjeux stratégiques de la formation dans l</w:t>
            </w:r>
            <w:r w:rsidR="00A170DA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a fonction publique d’</w:t>
            </w:r>
            <w:proofErr w:type="spellStart"/>
            <w:r w:rsidR="00A170DA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Etat</w:t>
            </w:r>
            <w:proofErr w:type="spellEnd"/>
          </w:p>
          <w:p w14:paraId="5147B6D8" w14:textId="77777777" w:rsidR="009E79EE" w:rsidRPr="00DD4F53" w:rsidRDefault="00DD4F53" w:rsidP="009E79EE">
            <w:pPr>
              <w:pStyle w:val="NormalWeb"/>
              <w:numPr>
                <w:ilvl w:val="0"/>
                <w:numId w:val="29"/>
              </w:numPr>
              <w:rPr>
                <w:rStyle w:val="lev"/>
                <w:b w:val="0"/>
                <w:sz w:val="18"/>
                <w:szCs w:val="18"/>
              </w:rPr>
            </w:pPr>
            <w:r w:rsidRPr="00DD4F53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Appliquer la réglementation et ses évolutions dans le domaine de la formation</w:t>
            </w:r>
          </w:p>
          <w:p w14:paraId="473E5D47" w14:textId="77777777" w:rsidR="00DD4F53" w:rsidRPr="00DD4F53" w:rsidRDefault="00DD4F53" w:rsidP="009E79EE">
            <w:pPr>
              <w:pStyle w:val="NormalWeb"/>
              <w:numPr>
                <w:ilvl w:val="0"/>
                <w:numId w:val="29"/>
              </w:numPr>
              <w:rPr>
                <w:b/>
                <w:bCs/>
                <w:sz w:val="18"/>
                <w:szCs w:val="18"/>
              </w:rPr>
            </w:pPr>
            <w:r w:rsidRPr="00DD4F53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Utiliser la réglementation pour accompagner les projets </w:t>
            </w:r>
            <w:r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de formation des agents</w:t>
            </w:r>
            <w:r w:rsidRPr="00DD4F5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E8D3A58" w14:textId="77777777" w:rsidR="00DD4F53" w:rsidRPr="00DD4F53" w:rsidRDefault="00DD4F53" w:rsidP="009E79EE">
            <w:pPr>
              <w:pStyle w:val="NormalWeb"/>
              <w:numPr>
                <w:ilvl w:val="0"/>
                <w:numId w:val="29"/>
              </w:numPr>
              <w:rPr>
                <w:b/>
                <w:bCs/>
                <w:sz w:val="18"/>
                <w:szCs w:val="18"/>
              </w:rPr>
            </w:pPr>
            <w:r w:rsidRPr="00DD4F53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Mettre en pratique la réglementation </w:t>
            </w:r>
          </w:p>
          <w:p w14:paraId="4B041BBC" w14:textId="77777777" w:rsidR="00C57341" w:rsidRPr="00DD4F53" w:rsidRDefault="00C57341" w:rsidP="00DD4F53">
            <w:pPr>
              <w:pStyle w:val="NormalWeb"/>
              <w:rPr>
                <w:bCs/>
                <w:sz w:val="18"/>
                <w:szCs w:val="18"/>
              </w:rPr>
            </w:pPr>
            <w:r w:rsidRPr="00DD4F53">
              <w:rPr>
                <w:rFonts w:ascii="Arial" w:hAnsi="Arial"/>
                <w:b/>
                <w:i/>
                <w:sz w:val="18"/>
                <w:szCs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  <w:szCs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DE3329" w:rsidRPr="00DD4F53">
                  <w:rPr>
                    <w:rFonts w:ascii="Arial" w:hAnsi="Arial"/>
                    <w:b/>
                    <w:i/>
                    <w:sz w:val="18"/>
                    <w:szCs w:val="18"/>
                  </w:rPr>
                  <w:t>A</w:t>
                </w:r>
              </w:sdtContent>
            </w:sdt>
          </w:p>
        </w:tc>
      </w:tr>
    </w:tbl>
    <w:p w14:paraId="20C0CB83" w14:textId="77777777" w:rsidR="00C57341" w:rsidRPr="00364551" w:rsidRDefault="00C57341" w:rsidP="00364551">
      <w:pPr>
        <w:spacing w:after="0"/>
        <w:rPr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RPr="00364551" w14:paraId="41482F4E" w14:textId="77777777" w:rsidTr="00804464">
        <w:trPr>
          <w:cantSplit/>
          <w:trHeight w:hRule="exact" w:val="1418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4C2E71" w14:textId="77777777" w:rsidR="00DD4F53" w:rsidRDefault="00364551" w:rsidP="00DD4F5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 xml:space="preserve">Population concernée </w:t>
            </w:r>
            <w:r w:rsidR="00C57341" w:rsidRPr="00364551">
              <w:rPr>
                <w:rFonts w:ascii="Arial" w:hAnsi="Arial"/>
                <w:b/>
                <w:sz w:val="18"/>
                <w:szCs w:val="18"/>
              </w:rPr>
              <w:t>:</w:t>
            </w:r>
            <w:r w:rsidR="00C57341" w:rsidRPr="00364551">
              <w:rPr>
                <w:rFonts w:ascii="Arial" w:hAnsi="Arial"/>
                <w:sz w:val="18"/>
                <w:szCs w:val="18"/>
              </w:rPr>
              <w:t xml:space="preserve"> </w:t>
            </w:r>
            <w:r w:rsidR="00DD4F53">
              <w:rPr>
                <w:rFonts w:ascii="Arial" w:hAnsi="Arial" w:cs="Arial"/>
                <w:sz w:val="18"/>
                <w:szCs w:val="18"/>
              </w:rPr>
              <w:t>Responsables formation, gestionnaires de formation.</w:t>
            </w:r>
          </w:p>
          <w:p w14:paraId="489E7453" w14:textId="0147E3A5" w:rsidR="00F35E03" w:rsidRPr="00DD4F53" w:rsidRDefault="00F35E03" w:rsidP="00DD4F5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364551">
              <w:rPr>
                <w:rFonts w:ascii="Arial" w:hAnsi="Arial"/>
                <w:b/>
                <w:i/>
                <w:sz w:val="18"/>
                <w:szCs w:val="18"/>
              </w:rPr>
              <w:t>Compétences REM :</w:t>
            </w:r>
            <w:r w:rsidR="00BA0030">
              <w:rPr>
                <w:rFonts w:ascii="Arial" w:hAnsi="Arial"/>
                <w:sz w:val="18"/>
                <w:szCs w:val="18"/>
              </w:rPr>
              <w:t xml:space="preserve"> </w:t>
            </w:r>
            <w:r w:rsidR="00BA0030" w:rsidRPr="00BA0030">
              <w:rPr>
                <w:rFonts w:ascii="Arial" w:hAnsi="Arial"/>
                <w:sz w:val="18"/>
                <w:szCs w:val="18"/>
              </w:rPr>
              <w:t>1915 - REGLEMENTATION ORGANISATION FORMATION</w:t>
            </w:r>
          </w:p>
          <w:p w14:paraId="01E174BD" w14:textId="77777777" w:rsidR="00C57341" w:rsidRPr="000B0681" w:rsidRDefault="00C57341" w:rsidP="00364551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sz w:val="18"/>
                <w:szCs w:val="18"/>
              </w:rPr>
            </w:pPr>
            <w:r w:rsidRPr="00364551">
              <w:rPr>
                <w:rFonts w:ascii="Arial" w:hAnsi="Arial"/>
                <w:b/>
                <w:i/>
                <w:sz w:val="18"/>
                <w:szCs w:val="18"/>
              </w:rPr>
              <w:t xml:space="preserve">Prérequis (dont niveau SAME**) </w:t>
            </w:r>
            <w:r w:rsidRPr="00364551">
              <w:rPr>
                <w:rFonts w:ascii="Arial" w:hAnsi="Arial"/>
                <w:sz w:val="18"/>
                <w:szCs w:val="18"/>
              </w:rPr>
              <w:t xml:space="preserve">: </w:t>
            </w:r>
            <w:r w:rsidR="00DD4F53">
              <w:rPr>
                <w:rFonts w:ascii="Arial" w:hAnsi="Arial"/>
                <w:sz w:val="18"/>
                <w:szCs w:val="18"/>
              </w:rPr>
              <w:t xml:space="preserve"> S</w:t>
            </w:r>
          </w:p>
        </w:tc>
      </w:tr>
    </w:tbl>
    <w:p w14:paraId="094BA978" w14:textId="77777777"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14:paraId="4A2B2BF6" w14:textId="77777777" w:rsidTr="00695C2E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11AD0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E7C92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14:paraId="1ADDD32B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AE233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14:paraId="15C4A69B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384740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14:paraId="6E122BE7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14:paraId="411EFF4D" w14:textId="77777777" w:rsidTr="00695C2E">
        <w:trPr>
          <w:trHeight w:val="3078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5425DB2" w14:textId="77777777" w:rsidR="00DD4F53" w:rsidRPr="00DD4F53" w:rsidRDefault="00DD4F53" w:rsidP="006B5E5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D4F53">
              <w:rPr>
                <w:rFonts w:ascii="Arial" w:hAnsi="Arial" w:cs="Arial"/>
                <w:b/>
                <w:sz w:val="18"/>
                <w:szCs w:val="18"/>
              </w:rPr>
              <w:t xml:space="preserve">1. Enjeux de la formation dans la fonction publique </w:t>
            </w:r>
            <w:r w:rsidR="006D14CC">
              <w:rPr>
                <w:rFonts w:ascii="Arial" w:hAnsi="Arial" w:cs="Arial"/>
                <w:b/>
                <w:sz w:val="18"/>
                <w:szCs w:val="18"/>
              </w:rPr>
              <w:t>d’</w:t>
            </w:r>
            <w:proofErr w:type="spellStart"/>
            <w:r w:rsidR="006D14CC">
              <w:rPr>
                <w:rFonts w:ascii="Arial" w:hAnsi="Arial" w:cs="Arial"/>
                <w:b/>
                <w:sz w:val="18"/>
                <w:szCs w:val="18"/>
              </w:rPr>
              <w:t>Etat</w:t>
            </w:r>
            <w:proofErr w:type="spellEnd"/>
            <w:r w:rsidR="006D14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D4F53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0E1173FF" w14:textId="7C319386" w:rsidR="00DD4F53" w:rsidRPr="00DD4F53" w:rsidRDefault="00DD4F53" w:rsidP="006B5E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170DA" w:rsidRPr="00A170DA">
              <w:rPr>
                <w:rFonts w:ascii="Arial" w:hAnsi="Arial" w:cs="Arial"/>
                <w:sz w:val="18"/>
                <w:szCs w:val="18"/>
              </w:rPr>
              <w:t>Le rôle et la place de la formation professionnelle continue dans les évolutions de la GRH</w:t>
            </w:r>
          </w:p>
          <w:p w14:paraId="1604359D" w14:textId="5AFDC00A" w:rsidR="00A170DA" w:rsidRDefault="00A170DA" w:rsidP="006B5E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170DA">
              <w:rPr>
                <w:rFonts w:ascii="Arial" w:hAnsi="Arial" w:cs="Arial"/>
                <w:sz w:val="18"/>
                <w:szCs w:val="18"/>
              </w:rPr>
              <w:t>Le positionnement du responsable de formation dans le périmètre RH, ses missions, ses compétences</w:t>
            </w:r>
          </w:p>
          <w:p w14:paraId="475666A7" w14:textId="77777777" w:rsidR="00DD4F53" w:rsidRPr="00DD4F53" w:rsidRDefault="00DD4F53" w:rsidP="006B5E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D4F53">
              <w:rPr>
                <w:rFonts w:ascii="Arial" w:hAnsi="Arial" w:cs="Arial"/>
                <w:sz w:val="18"/>
                <w:szCs w:val="18"/>
              </w:rPr>
              <w:t>Exemples d’initiatives et de bonnes pratiques pour valoriser la formation dans les parcours professionnels.</w:t>
            </w:r>
          </w:p>
          <w:p w14:paraId="58ACF7A6" w14:textId="73438238" w:rsidR="00DD4F53" w:rsidRPr="00DD4F53" w:rsidRDefault="00DD4F53" w:rsidP="006B5E5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D4F53">
              <w:rPr>
                <w:rFonts w:ascii="Arial" w:hAnsi="Arial" w:cs="Arial"/>
                <w:b/>
                <w:sz w:val="18"/>
                <w:szCs w:val="18"/>
              </w:rPr>
              <w:t xml:space="preserve">2. Introduction à la réglementation de la formation dans la fonction publique </w:t>
            </w:r>
            <w:r w:rsidR="006B5E52">
              <w:rPr>
                <w:rFonts w:ascii="Arial" w:hAnsi="Arial" w:cs="Arial"/>
                <w:b/>
                <w:sz w:val="18"/>
                <w:szCs w:val="18"/>
              </w:rPr>
              <w:t>d’</w:t>
            </w:r>
            <w:proofErr w:type="spellStart"/>
            <w:r w:rsidR="006B5E52">
              <w:rPr>
                <w:rFonts w:ascii="Arial" w:hAnsi="Arial" w:cs="Arial"/>
                <w:b/>
                <w:sz w:val="18"/>
                <w:szCs w:val="18"/>
              </w:rPr>
              <w:t>Etat</w:t>
            </w:r>
            <w:proofErr w:type="spellEnd"/>
            <w:r w:rsidR="006B5E52" w:rsidRPr="00DD4F53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  <w:p w14:paraId="7EA5731E" w14:textId="4C3A288A" w:rsidR="00DD4F53" w:rsidRPr="00DD4F53" w:rsidRDefault="00DD4F53" w:rsidP="006B5E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D4F53">
              <w:rPr>
                <w:rFonts w:ascii="Arial" w:hAnsi="Arial" w:cs="Arial"/>
                <w:sz w:val="18"/>
                <w:szCs w:val="18"/>
              </w:rPr>
              <w:t xml:space="preserve">Présentation du cadre législatif de la formation </w:t>
            </w:r>
            <w:r w:rsidR="006B5E52" w:rsidRPr="00DD4F53">
              <w:rPr>
                <w:rFonts w:ascii="Arial" w:hAnsi="Arial" w:cs="Arial"/>
                <w:sz w:val="18"/>
                <w:szCs w:val="18"/>
              </w:rPr>
              <w:t>e</w:t>
            </w:r>
            <w:r w:rsidR="006B5E52">
              <w:rPr>
                <w:rFonts w:ascii="Arial" w:hAnsi="Arial" w:cs="Arial"/>
                <w:sz w:val="18"/>
                <w:szCs w:val="18"/>
              </w:rPr>
              <w:t xml:space="preserve">t de la gestion des compétences : </w:t>
            </w:r>
            <w:r w:rsidR="00BF2ABC">
              <w:rPr>
                <w:rFonts w:ascii="Arial" w:hAnsi="Arial" w:cs="Arial"/>
                <w:sz w:val="18"/>
                <w:szCs w:val="18"/>
              </w:rPr>
              <w:t>histoire de la formation professionnelle dans la FPE, profond changement depuis 2007,</w:t>
            </w:r>
            <w:r w:rsidR="000906DE">
              <w:rPr>
                <w:rFonts w:ascii="Arial" w:hAnsi="Arial" w:cs="Arial"/>
                <w:sz w:val="18"/>
                <w:szCs w:val="18"/>
              </w:rPr>
              <w:t xml:space="preserve"> loi de transformation publique 2019,</w:t>
            </w:r>
            <w:r w:rsidR="00BF2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680C">
              <w:rPr>
                <w:rFonts w:ascii="Arial" w:hAnsi="Arial" w:cs="Arial"/>
                <w:sz w:val="18"/>
                <w:szCs w:val="18"/>
              </w:rPr>
              <w:t xml:space="preserve">schéma directeur, </w:t>
            </w:r>
            <w:r w:rsidR="00CF5B78">
              <w:rPr>
                <w:rFonts w:ascii="Arial" w:hAnsi="Arial" w:cs="Arial"/>
                <w:sz w:val="18"/>
                <w:szCs w:val="18"/>
              </w:rPr>
              <w:t>du code génér</w:t>
            </w:r>
            <w:r w:rsidR="006B5E52">
              <w:rPr>
                <w:rFonts w:ascii="Arial" w:hAnsi="Arial" w:cs="Arial"/>
                <w:sz w:val="18"/>
                <w:szCs w:val="18"/>
              </w:rPr>
              <w:t xml:space="preserve">al de la fonction publique, </w:t>
            </w:r>
            <w:r w:rsidR="00CF5B78">
              <w:rPr>
                <w:rFonts w:ascii="Arial" w:hAnsi="Arial" w:cs="Arial"/>
                <w:sz w:val="18"/>
                <w:szCs w:val="18"/>
              </w:rPr>
              <w:t>décre</w:t>
            </w:r>
            <w:r w:rsidR="006B5E52">
              <w:rPr>
                <w:rFonts w:ascii="Arial" w:hAnsi="Arial" w:cs="Arial"/>
                <w:sz w:val="18"/>
                <w:szCs w:val="18"/>
              </w:rPr>
              <w:t>ts et arrêtés les plus récents.</w:t>
            </w:r>
          </w:p>
          <w:p w14:paraId="07C147A8" w14:textId="0A1DC24A" w:rsidR="00A170DA" w:rsidRDefault="00DD4F53" w:rsidP="006B5E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D4F53">
              <w:rPr>
                <w:rFonts w:ascii="Arial" w:hAnsi="Arial" w:cs="Arial"/>
                <w:sz w:val="18"/>
                <w:szCs w:val="18"/>
              </w:rPr>
              <w:t xml:space="preserve">Les obligations de formation </w:t>
            </w:r>
            <w:r w:rsidR="00A170DA">
              <w:rPr>
                <w:rFonts w:ascii="Arial" w:hAnsi="Arial" w:cs="Arial"/>
                <w:sz w:val="18"/>
                <w:szCs w:val="18"/>
              </w:rPr>
              <w:t xml:space="preserve">tout au long de la vie </w:t>
            </w:r>
            <w:r w:rsidRPr="00DD4F53">
              <w:rPr>
                <w:rFonts w:ascii="Arial" w:hAnsi="Arial" w:cs="Arial"/>
                <w:sz w:val="18"/>
                <w:szCs w:val="18"/>
              </w:rPr>
              <w:t>des employeurs publics et droits des agents.</w:t>
            </w:r>
          </w:p>
          <w:p w14:paraId="32B3463C" w14:textId="47D66260" w:rsidR="007F0DFE" w:rsidRPr="00DD4F53" w:rsidRDefault="007F0DFE" w:rsidP="00DD4F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- </w:t>
            </w:r>
            <w:r w:rsidR="006B5E52">
              <w:rPr>
                <w:rFonts w:ascii="Arial" w:hAnsi="Arial" w:cs="Arial"/>
                <w:sz w:val="18"/>
                <w:szCs w:val="18"/>
              </w:rPr>
              <w:t xml:space="preserve">La </w:t>
            </w:r>
            <w:r>
              <w:rPr>
                <w:rFonts w:ascii="Arial" w:hAnsi="Arial" w:cs="Arial"/>
                <w:sz w:val="18"/>
                <w:szCs w:val="18"/>
              </w:rPr>
              <w:t>politique de formation du personnel civil du ministère des armées (intégration et fidélisation via la formation, l</w:t>
            </w:r>
            <w:r w:rsidRPr="007F0DFE">
              <w:rPr>
                <w:rFonts w:ascii="Arial" w:hAnsi="Arial" w:cs="Arial"/>
                <w:sz w:val="18"/>
                <w:szCs w:val="18"/>
              </w:rPr>
              <w:t>es défis liés aux compétences crit</w:t>
            </w:r>
            <w:r>
              <w:rPr>
                <w:rFonts w:ascii="Arial" w:hAnsi="Arial" w:cs="Arial"/>
                <w:sz w:val="18"/>
                <w:szCs w:val="18"/>
              </w:rPr>
              <w:t>iques et aux métiers en tension…).</w:t>
            </w:r>
          </w:p>
          <w:p w14:paraId="033F95BC" w14:textId="2BBAC0D4" w:rsidR="00DD4F53" w:rsidRPr="00DD4F53" w:rsidRDefault="006B5E52" w:rsidP="006B5E5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DD4F53" w:rsidRPr="00DD4F53">
              <w:rPr>
                <w:rFonts w:ascii="Arial" w:hAnsi="Arial" w:cs="Arial"/>
                <w:b/>
                <w:sz w:val="18"/>
                <w:szCs w:val="18"/>
              </w:rPr>
              <w:t xml:space="preserve">. Outils et dispositifs </w:t>
            </w:r>
            <w:r w:rsidR="00A170DA">
              <w:rPr>
                <w:rFonts w:ascii="Arial" w:hAnsi="Arial" w:cs="Arial"/>
                <w:b/>
                <w:sz w:val="18"/>
                <w:szCs w:val="18"/>
              </w:rPr>
              <w:t>de formation</w:t>
            </w:r>
            <w:r w:rsidR="00DD4F53" w:rsidRPr="00DD4F53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  <w:p w14:paraId="623852D4" w14:textId="752F54FC" w:rsidR="00A170DA" w:rsidRDefault="006B5E52" w:rsidP="006B5E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170DA" w:rsidRPr="00A170DA">
              <w:rPr>
                <w:rFonts w:ascii="Arial" w:hAnsi="Arial" w:cs="Arial"/>
                <w:sz w:val="18"/>
                <w:szCs w:val="18"/>
              </w:rPr>
              <w:t xml:space="preserve">Les différents dispositifs de formation à travers leurs conditions et modalités de mise en </w:t>
            </w:r>
            <w:r w:rsidRPr="00A170DA">
              <w:rPr>
                <w:rFonts w:ascii="Arial" w:hAnsi="Arial" w:cs="Arial"/>
                <w:sz w:val="18"/>
                <w:szCs w:val="18"/>
              </w:rPr>
              <w:t>œuvre</w:t>
            </w:r>
          </w:p>
          <w:p w14:paraId="3080F1D4" w14:textId="2491244F" w:rsidR="00DD4F53" w:rsidRPr="00DD4F53" w:rsidRDefault="006B5E52" w:rsidP="006B5E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D4F53" w:rsidRPr="00DD4F53">
              <w:rPr>
                <w:rFonts w:ascii="Arial" w:hAnsi="Arial" w:cs="Arial"/>
                <w:sz w:val="18"/>
                <w:szCs w:val="18"/>
              </w:rPr>
              <w:t xml:space="preserve">Exemples de plans de développement des compétences et de stratégies </w:t>
            </w:r>
            <w:r w:rsidR="00A170DA">
              <w:rPr>
                <w:rFonts w:ascii="Arial" w:hAnsi="Arial" w:cs="Arial"/>
                <w:sz w:val="18"/>
                <w:szCs w:val="18"/>
              </w:rPr>
              <w:t>de formation pour l’évolution du parcours de carrière de l’agent.</w:t>
            </w:r>
          </w:p>
          <w:p w14:paraId="5DCA2556" w14:textId="410E1EC8" w:rsidR="00DD4F53" w:rsidRPr="00DD4F53" w:rsidRDefault="006B5E52" w:rsidP="006B5E5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 Cas pratiques : a</w:t>
            </w:r>
            <w:r w:rsidR="00DD4F53" w:rsidRPr="00DD4F53">
              <w:rPr>
                <w:rFonts w:ascii="Arial" w:hAnsi="Arial" w:cs="Arial"/>
                <w:b/>
                <w:sz w:val="18"/>
                <w:szCs w:val="18"/>
              </w:rPr>
              <w:t>pplication de la réglementation :</w:t>
            </w:r>
          </w:p>
          <w:p w14:paraId="2F072D7C" w14:textId="54E2A967" w:rsidR="00DD4F53" w:rsidRPr="00DD4F53" w:rsidRDefault="006B5E52" w:rsidP="006B5E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D4F53" w:rsidRPr="00DD4F53">
              <w:rPr>
                <w:rFonts w:ascii="Arial" w:hAnsi="Arial" w:cs="Arial"/>
                <w:sz w:val="18"/>
                <w:szCs w:val="18"/>
              </w:rPr>
              <w:t>Études de cas : analyser des situations réelles (</w:t>
            </w:r>
            <w:r w:rsidR="00CF5B78">
              <w:rPr>
                <w:rFonts w:ascii="Arial" w:hAnsi="Arial" w:cs="Arial"/>
                <w:sz w:val="18"/>
                <w:szCs w:val="18"/>
              </w:rPr>
              <w:t xml:space="preserve">intégration, </w:t>
            </w:r>
            <w:r w:rsidR="00DD4F53" w:rsidRPr="00DD4F53">
              <w:rPr>
                <w:rFonts w:ascii="Arial" w:hAnsi="Arial" w:cs="Arial"/>
                <w:sz w:val="18"/>
                <w:szCs w:val="18"/>
              </w:rPr>
              <w:t>mobilité, montée en compétences</w:t>
            </w:r>
            <w:r w:rsidR="00CF5B78">
              <w:rPr>
                <w:rFonts w:ascii="Arial" w:hAnsi="Arial" w:cs="Arial"/>
                <w:sz w:val="18"/>
                <w:szCs w:val="18"/>
              </w:rPr>
              <w:t>,</w:t>
            </w:r>
            <w:r w:rsidR="00A170DA">
              <w:rPr>
                <w:rFonts w:ascii="Arial" w:hAnsi="Arial" w:cs="Arial"/>
                <w:sz w:val="18"/>
                <w:szCs w:val="18"/>
              </w:rPr>
              <w:t xml:space="preserve"> parcours de carrière, </w:t>
            </w:r>
            <w:r w:rsidR="00CF5B78">
              <w:rPr>
                <w:rFonts w:ascii="Arial" w:hAnsi="Arial" w:cs="Arial"/>
                <w:sz w:val="18"/>
                <w:szCs w:val="18"/>
              </w:rPr>
              <w:t>restructuration</w:t>
            </w:r>
            <w:r w:rsidR="00DD4F53" w:rsidRPr="00DD4F53">
              <w:rPr>
                <w:rFonts w:ascii="Arial" w:hAnsi="Arial" w:cs="Arial"/>
                <w:sz w:val="18"/>
                <w:szCs w:val="18"/>
              </w:rPr>
              <w:t>) en tenant compte des règles juridiques.</w:t>
            </w:r>
          </w:p>
          <w:p w14:paraId="4168AE56" w14:textId="5B455779" w:rsidR="00DD4F53" w:rsidRPr="00DD4F53" w:rsidRDefault="006B5E52" w:rsidP="006B5E5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D4F53" w:rsidRPr="00DD4F53">
              <w:rPr>
                <w:rFonts w:ascii="Arial" w:hAnsi="Arial" w:cs="Arial"/>
                <w:sz w:val="18"/>
                <w:szCs w:val="18"/>
              </w:rPr>
              <w:t>Élaboration d'un projet de formation aligné avec les objectifs d</w:t>
            </w:r>
            <w:r w:rsidR="00CF5B78">
              <w:rPr>
                <w:rFonts w:ascii="Arial" w:hAnsi="Arial" w:cs="Arial"/>
                <w:sz w:val="18"/>
                <w:szCs w:val="18"/>
              </w:rPr>
              <w:t>u plan de développement des compétences de l’employeur</w:t>
            </w:r>
          </w:p>
          <w:p w14:paraId="67F4ED3C" w14:textId="77777777" w:rsidR="00DD4F53" w:rsidRPr="00DD4F53" w:rsidRDefault="004C4719" w:rsidP="00DD4F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pict w14:anchorId="521AEE8D">
                <v:rect id="_x0000_i1025" style="width:286pt;height:1.5pt" o:hralign="center" o:hrstd="t" o:hr="t" fillcolor="#a0a0a0" stroked="f"/>
              </w:pict>
            </w:r>
          </w:p>
          <w:p w14:paraId="3A3E0864" w14:textId="77777777" w:rsidR="00DD4F53" w:rsidRPr="00DD4F53" w:rsidRDefault="00DD4F53" w:rsidP="00DD4F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4F53">
              <w:rPr>
                <w:rFonts w:ascii="Arial" w:hAnsi="Arial" w:cs="Arial"/>
                <w:b/>
                <w:sz w:val="18"/>
                <w:szCs w:val="18"/>
              </w:rPr>
              <w:t>Modalités pédagogiques :</w:t>
            </w:r>
          </w:p>
          <w:p w14:paraId="78D4A5E3" w14:textId="77777777" w:rsidR="00DD4F53" w:rsidRPr="00DD4F53" w:rsidRDefault="00DD4F53" w:rsidP="00DD4F53">
            <w:pPr>
              <w:rPr>
                <w:rFonts w:ascii="Arial" w:hAnsi="Arial" w:cs="Arial"/>
                <w:sz w:val="18"/>
                <w:szCs w:val="18"/>
              </w:rPr>
            </w:pPr>
            <w:r w:rsidRPr="00DD4F53">
              <w:rPr>
                <w:rFonts w:ascii="Arial" w:hAnsi="Arial" w:cs="Arial"/>
                <w:sz w:val="18"/>
                <w:szCs w:val="18"/>
              </w:rPr>
              <w:t>Durée : 2 jours (12 heures)</w:t>
            </w:r>
          </w:p>
          <w:p w14:paraId="10ECF333" w14:textId="77777777" w:rsidR="00DD4F53" w:rsidRPr="00DD4F53" w:rsidRDefault="00DD4F53" w:rsidP="00DD4F53">
            <w:pPr>
              <w:rPr>
                <w:rFonts w:ascii="Arial" w:hAnsi="Arial" w:cs="Arial"/>
                <w:sz w:val="18"/>
                <w:szCs w:val="18"/>
              </w:rPr>
            </w:pPr>
            <w:r w:rsidRPr="00DD4F53">
              <w:rPr>
                <w:rFonts w:ascii="Arial" w:hAnsi="Arial" w:cs="Arial"/>
                <w:sz w:val="18"/>
                <w:szCs w:val="18"/>
              </w:rPr>
              <w:t>Jour 1 : T</w:t>
            </w:r>
            <w:r>
              <w:rPr>
                <w:rFonts w:ascii="Arial" w:hAnsi="Arial" w:cs="Arial"/>
                <w:sz w:val="18"/>
                <w:szCs w:val="18"/>
              </w:rPr>
              <w:t>héorie et cadre réglementaire (6</w:t>
            </w:r>
            <w:r w:rsidRPr="00DD4F53">
              <w:rPr>
                <w:rFonts w:ascii="Arial" w:hAnsi="Arial" w:cs="Arial"/>
                <w:sz w:val="18"/>
                <w:szCs w:val="18"/>
              </w:rPr>
              <w:t xml:space="preserve"> heures) - Présentation interactive et échanges autour de la réglementation et des enjeux.</w:t>
            </w:r>
          </w:p>
          <w:p w14:paraId="6D3A9735" w14:textId="77777777" w:rsidR="00DD4F53" w:rsidRPr="00DD4F53" w:rsidRDefault="00DD4F53" w:rsidP="00DD4F53">
            <w:pPr>
              <w:rPr>
                <w:rFonts w:ascii="Arial" w:hAnsi="Arial" w:cs="Arial"/>
                <w:sz w:val="18"/>
                <w:szCs w:val="18"/>
              </w:rPr>
            </w:pPr>
            <w:r w:rsidRPr="00DD4F53">
              <w:rPr>
                <w:rFonts w:ascii="Arial" w:hAnsi="Arial" w:cs="Arial"/>
                <w:sz w:val="18"/>
                <w:szCs w:val="18"/>
              </w:rPr>
              <w:t>Jour 2 :</w:t>
            </w:r>
            <w:r>
              <w:rPr>
                <w:rFonts w:ascii="Arial" w:hAnsi="Arial" w:cs="Arial"/>
                <w:sz w:val="18"/>
                <w:szCs w:val="18"/>
              </w:rPr>
              <w:t xml:space="preserve"> Cas pratiques et simulations (6</w:t>
            </w:r>
            <w:r w:rsidRPr="00DD4F53">
              <w:rPr>
                <w:rFonts w:ascii="Arial" w:hAnsi="Arial" w:cs="Arial"/>
                <w:sz w:val="18"/>
                <w:szCs w:val="18"/>
              </w:rPr>
              <w:t xml:space="preserve"> heures) - Ateliers d’application avec analyse de cas et exercices de mise en situation.</w:t>
            </w:r>
          </w:p>
          <w:p w14:paraId="7BC7C87B" w14:textId="77777777" w:rsidR="00DD4F53" w:rsidRPr="006B5E52" w:rsidRDefault="00DD4F53" w:rsidP="00DD4F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B5E52">
              <w:rPr>
                <w:rFonts w:ascii="Arial" w:hAnsi="Arial" w:cs="Arial"/>
                <w:b/>
                <w:sz w:val="18"/>
                <w:szCs w:val="18"/>
              </w:rPr>
              <w:t>Méthodes :</w:t>
            </w:r>
          </w:p>
          <w:p w14:paraId="3A631D2E" w14:textId="77777777" w:rsidR="00DD4F53" w:rsidRPr="00DD4F53" w:rsidRDefault="00DD4F53" w:rsidP="00DD4F53">
            <w:pPr>
              <w:rPr>
                <w:rFonts w:ascii="Arial" w:hAnsi="Arial" w:cs="Arial"/>
                <w:sz w:val="18"/>
                <w:szCs w:val="18"/>
              </w:rPr>
            </w:pPr>
            <w:r w:rsidRPr="00DD4F53">
              <w:rPr>
                <w:rFonts w:ascii="Arial" w:hAnsi="Arial" w:cs="Arial"/>
                <w:sz w:val="18"/>
                <w:szCs w:val="18"/>
              </w:rPr>
              <w:t>Présentations interactives pour explorer la réglementation et ses impacts.</w:t>
            </w:r>
          </w:p>
          <w:p w14:paraId="0763495A" w14:textId="77777777" w:rsidR="00DD4F53" w:rsidRPr="00DD4F53" w:rsidRDefault="00DD4F53" w:rsidP="00DD4F53">
            <w:pPr>
              <w:rPr>
                <w:rFonts w:ascii="Arial" w:hAnsi="Arial" w:cs="Arial"/>
                <w:sz w:val="18"/>
                <w:szCs w:val="18"/>
              </w:rPr>
            </w:pPr>
            <w:r w:rsidRPr="00DD4F53">
              <w:rPr>
                <w:rFonts w:ascii="Arial" w:hAnsi="Arial" w:cs="Arial"/>
                <w:sz w:val="18"/>
                <w:szCs w:val="18"/>
              </w:rPr>
              <w:t>Ateliers pratiques : analyse de cas concrets et simulations d’applications.</w:t>
            </w:r>
          </w:p>
          <w:p w14:paraId="553D045E" w14:textId="6B8ABB35" w:rsidR="009E79EE" w:rsidRPr="00DD4F53" w:rsidRDefault="00DD4F53" w:rsidP="00DD4F53">
            <w:pPr>
              <w:rPr>
                <w:rFonts w:ascii="Arial" w:hAnsi="Arial" w:cs="Arial"/>
                <w:sz w:val="18"/>
                <w:szCs w:val="18"/>
              </w:rPr>
            </w:pPr>
            <w:r w:rsidRPr="00DD4F53">
              <w:rPr>
                <w:rFonts w:ascii="Arial" w:hAnsi="Arial" w:cs="Arial"/>
                <w:sz w:val="18"/>
                <w:szCs w:val="18"/>
              </w:rPr>
              <w:t>Sessions de questions-réponses pour favoriser l’appropriation des connaissances juridiques.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0DD7898" w14:textId="21C6159F" w:rsidR="00C57341" w:rsidRPr="00F35E03" w:rsidRDefault="00C57341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682F04" w14:textId="33A023C5" w:rsidR="00C57341" w:rsidRDefault="004C4719" w:rsidP="007A1A3F">
            <w:pPr>
              <w:spacing w:after="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6B5E52">
                  <w:rPr>
                    <w:rFonts w:ascii="Arial" w:hAnsi="Arial"/>
                    <w:b/>
                    <w:sz w:val="18"/>
                  </w:rPr>
                  <w:t>A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CC54C15" w14:textId="5D29D1A7" w:rsidR="006B5E52" w:rsidRDefault="006B5E52" w:rsidP="006B5E52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xposé - </w:t>
            </w:r>
          </w:p>
          <w:p w14:paraId="6D609237" w14:textId="0B5BC4DE" w:rsidR="006B5E52" w:rsidRDefault="006B5E52" w:rsidP="006B5E52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 Études de </w:t>
            </w:r>
            <w:r>
              <w:rPr>
                <w:rFonts w:ascii="Arial" w:hAnsi="Arial"/>
                <w:b/>
                <w:sz w:val="18"/>
              </w:rPr>
              <w:t>C</w:t>
            </w:r>
            <w:r>
              <w:rPr>
                <w:rFonts w:ascii="Arial" w:hAnsi="Arial"/>
                <w:sz w:val="18"/>
              </w:rPr>
              <w:t>as -  </w:t>
            </w:r>
          </w:p>
          <w:p w14:paraId="4154ED51" w14:textId="1EEC6161" w:rsidR="006B5E52" w:rsidRDefault="006B5E52" w:rsidP="006B5E52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travaux en </w:t>
            </w:r>
            <w:r>
              <w:rPr>
                <w:rFonts w:ascii="Arial" w:hAnsi="Arial"/>
                <w:b/>
                <w:sz w:val="18"/>
              </w:rPr>
              <w:t>S</w:t>
            </w:r>
            <w:r>
              <w:rPr>
                <w:rFonts w:ascii="Arial" w:hAnsi="Arial"/>
                <w:sz w:val="18"/>
              </w:rPr>
              <w:t>ous-groupes</w:t>
            </w:r>
          </w:p>
          <w:p w14:paraId="16E09774" w14:textId="4E2A2186" w:rsidR="00C57341" w:rsidRPr="00F35E03" w:rsidRDefault="00C57341" w:rsidP="006B5E5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3515B9" w14:textId="77777777" w:rsidR="00C57341" w:rsidRDefault="00C57341" w:rsidP="00C57341">
      <w:pPr>
        <w:spacing w:after="0"/>
        <w:rPr>
          <w:sz w:val="16"/>
        </w:rPr>
      </w:pPr>
    </w:p>
    <w:p w14:paraId="588F317F" w14:textId="77777777"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14:paraId="086AC66F" w14:textId="77777777"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14:paraId="7763F8F0" w14:textId="443CD9CA" w:rsidR="00C57341" w:rsidRDefault="00C57341" w:rsidP="006B5E52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14:paraId="6D7BE5D5" w14:textId="77777777" w:rsidR="006B5E52" w:rsidRPr="001009AB" w:rsidRDefault="006B5E52" w:rsidP="006B5E52">
      <w:pPr>
        <w:spacing w:after="0"/>
        <w:ind w:left="425" w:hanging="425"/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14:paraId="071B2B71" w14:textId="77777777" w:rsidTr="007A1A3F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15205F3" w14:textId="77777777" w:rsidR="00C57341" w:rsidRDefault="004C4719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14:paraId="52BB284C" w14:textId="77777777" w:rsidR="00C57341" w:rsidRDefault="00C57341" w:rsidP="007A1A3F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</w:t>
            </w:r>
            <w:r w:rsidR="007A1A3F">
              <w:rPr>
                <w:sz w:val="24"/>
              </w:rPr>
              <w:t xml:space="preserve"> 21/10/2024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05D076" w14:textId="77777777"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14:paraId="24FDDBB8" w14:textId="77777777" w:rsidTr="007A1A3F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14:paraId="385E492C" w14:textId="03DF7973" w:rsidR="00C57341" w:rsidRDefault="006B5E52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>Mathieu Fretté</w:t>
            </w:r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429DC87" w14:textId="77777777" w:rsidR="00C57341" w:rsidRDefault="00C57341" w:rsidP="00804464">
            <w:pPr>
              <w:rPr>
                <w:sz w:val="24"/>
              </w:rPr>
            </w:pPr>
          </w:p>
        </w:tc>
      </w:tr>
    </w:tbl>
    <w:p w14:paraId="39E2EFEB" w14:textId="77777777" w:rsidR="002656E7" w:rsidRDefault="002656E7" w:rsidP="008F056E">
      <w:pPr>
        <w:spacing w:after="160" w:line="259" w:lineRule="auto"/>
      </w:pPr>
    </w:p>
    <w:sectPr w:rsidR="002656E7" w:rsidSect="00C03F68">
      <w:headerReference w:type="default" r:id="rId8"/>
      <w:pgSz w:w="11906" w:h="16838"/>
      <w:pgMar w:top="1417" w:right="1417" w:bottom="1417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658BD" w14:textId="77777777" w:rsidR="004C4719" w:rsidRDefault="004C4719" w:rsidP="00C57341">
      <w:pPr>
        <w:spacing w:after="0" w:line="240" w:lineRule="auto"/>
      </w:pPr>
      <w:r>
        <w:separator/>
      </w:r>
    </w:p>
  </w:endnote>
  <w:endnote w:type="continuationSeparator" w:id="0">
    <w:p w14:paraId="438DCF4B" w14:textId="77777777" w:rsidR="004C4719" w:rsidRDefault="004C4719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03C24" w14:textId="77777777" w:rsidR="004C4719" w:rsidRDefault="004C4719" w:rsidP="00C57341">
      <w:pPr>
        <w:spacing w:after="0" w:line="240" w:lineRule="auto"/>
      </w:pPr>
      <w:r>
        <w:separator/>
      </w:r>
    </w:p>
  </w:footnote>
  <w:footnote w:type="continuationSeparator" w:id="0">
    <w:p w14:paraId="02B56063" w14:textId="77777777" w:rsidR="004C4719" w:rsidRDefault="004C4719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14:paraId="5A5EF18E" w14:textId="77777777" w:rsidTr="00804464">
      <w:trPr>
        <w:trHeight w:val="1021"/>
      </w:trPr>
      <w:tc>
        <w:tcPr>
          <w:tcW w:w="1843" w:type="dxa"/>
          <w:vAlign w:val="center"/>
        </w:tcPr>
        <w:p w14:paraId="10AE4401" w14:textId="77777777"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7DFEEE95" wp14:editId="3813CE01">
                <wp:extent cx="1054100" cy="6661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739CE7" w14:textId="77777777"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14:paraId="565708C8" w14:textId="77777777"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14:paraId="63F8C9B4" w14:textId="77777777"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14:paraId="0765B566" w14:textId="77777777"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1772"/>
    <w:multiLevelType w:val="multilevel"/>
    <w:tmpl w:val="5D76E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16691"/>
    <w:multiLevelType w:val="multilevel"/>
    <w:tmpl w:val="089A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724B4"/>
    <w:multiLevelType w:val="multilevel"/>
    <w:tmpl w:val="A8FA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E3B58"/>
    <w:multiLevelType w:val="multilevel"/>
    <w:tmpl w:val="BC664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E037D"/>
    <w:multiLevelType w:val="multilevel"/>
    <w:tmpl w:val="EE20C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A0F85"/>
    <w:multiLevelType w:val="multilevel"/>
    <w:tmpl w:val="1D1E7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4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A3EBB"/>
    <w:multiLevelType w:val="multilevel"/>
    <w:tmpl w:val="A130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F6B51"/>
    <w:multiLevelType w:val="multilevel"/>
    <w:tmpl w:val="B3041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E15530"/>
    <w:multiLevelType w:val="multilevel"/>
    <w:tmpl w:val="CC84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494F20DE"/>
    <w:multiLevelType w:val="multilevel"/>
    <w:tmpl w:val="4FE47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581DFA"/>
    <w:multiLevelType w:val="multilevel"/>
    <w:tmpl w:val="55A4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E14FB1"/>
    <w:multiLevelType w:val="multilevel"/>
    <w:tmpl w:val="ED28D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00664E"/>
    <w:multiLevelType w:val="multilevel"/>
    <w:tmpl w:val="3BEEA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200AB7"/>
    <w:multiLevelType w:val="multilevel"/>
    <w:tmpl w:val="9D0ED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3759F"/>
    <w:multiLevelType w:val="multilevel"/>
    <w:tmpl w:val="46EAE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262439"/>
    <w:multiLevelType w:val="multilevel"/>
    <w:tmpl w:val="A8AC7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3776E"/>
    <w:multiLevelType w:val="multilevel"/>
    <w:tmpl w:val="EC96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2315F0"/>
    <w:multiLevelType w:val="multilevel"/>
    <w:tmpl w:val="921CD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1130F0"/>
    <w:multiLevelType w:val="multilevel"/>
    <w:tmpl w:val="411E8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79016B"/>
    <w:multiLevelType w:val="multilevel"/>
    <w:tmpl w:val="3B140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CB7420E"/>
    <w:multiLevelType w:val="multilevel"/>
    <w:tmpl w:val="BE58D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595ED7"/>
    <w:multiLevelType w:val="multilevel"/>
    <w:tmpl w:val="5C7ED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3"/>
  </w:num>
  <w:num w:numId="3">
    <w:abstractNumId w:val="6"/>
  </w:num>
  <w:num w:numId="4">
    <w:abstractNumId w:val="27"/>
  </w:num>
  <w:num w:numId="5">
    <w:abstractNumId w:val="19"/>
  </w:num>
  <w:num w:numId="6">
    <w:abstractNumId w:val="20"/>
  </w:num>
  <w:num w:numId="7">
    <w:abstractNumId w:val="13"/>
  </w:num>
  <w:num w:numId="8">
    <w:abstractNumId w:val="36"/>
  </w:num>
  <w:num w:numId="9">
    <w:abstractNumId w:val="32"/>
  </w:num>
  <w:num w:numId="10">
    <w:abstractNumId w:val="22"/>
  </w:num>
  <w:num w:numId="11">
    <w:abstractNumId w:val="10"/>
  </w:num>
  <w:num w:numId="12">
    <w:abstractNumId w:val="14"/>
  </w:num>
  <w:num w:numId="13">
    <w:abstractNumId w:val="29"/>
  </w:num>
  <w:num w:numId="14">
    <w:abstractNumId w:val="11"/>
  </w:num>
  <w:num w:numId="15">
    <w:abstractNumId w:val="8"/>
  </w:num>
  <w:num w:numId="16">
    <w:abstractNumId w:val="12"/>
  </w:num>
  <w:num w:numId="17">
    <w:abstractNumId w:val="3"/>
  </w:num>
  <w:num w:numId="18">
    <w:abstractNumId w:val="16"/>
  </w:num>
  <w:num w:numId="19">
    <w:abstractNumId w:val="1"/>
  </w:num>
  <w:num w:numId="20">
    <w:abstractNumId w:val="33"/>
  </w:num>
  <w:num w:numId="21">
    <w:abstractNumId w:val="26"/>
  </w:num>
  <w:num w:numId="22">
    <w:abstractNumId w:val="25"/>
  </w:num>
  <w:num w:numId="23">
    <w:abstractNumId w:val="34"/>
  </w:num>
  <w:num w:numId="24">
    <w:abstractNumId w:val="18"/>
  </w:num>
  <w:num w:numId="25">
    <w:abstractNumId w:val="9"/>
  </w:num>
  <w:num w:numId="26">
    <w:abstractNumId w:val="31"/>
  </w:num>
  <w:num w:numId="27">
    <w:abstractNumId w:val="21"/>
  </w:num>
  <w:num w:numId="28">
    <w:abstractNumId w:val="28"/>
  </w:num>
  <w:num w:numId="29">
    <w:abstractNumId w:val="0"/>
  </w:num>
  <w:num w:numId="30">
    <w:abstractNumId w:val="35"/>
  </w:num>
  <w:num w:numId="31">
    <w:abstractNumId w:val="38"/>
  </w:num>
  <w:num w:numId="32">
    <w:abstractNumId w:val="2"/>
  </w:num>
  <w:num w:numId="3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24"/>
  </w:num>
  <w:num w:numId="39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4C4D"/>
    <w:rsid w:val="00062FF5"/>
    <w:rsid w:val="000906DE"/>
    <w:rsid w:val="000B0681"/>
    <w:rsid w:val="000D5767"/>
    <w:rsid w:val="000F4CA2"/>
    <w:rsid w:val="00122BE7"/>
    <w:rsid w:val="00212F5F"/>
    <w:rsid w:val="002454E8"/>
    <w:rsid w:val="002656E7"/>
    <w:rsid w:val="002E4602"/>
    <w:rsid w:val="002E5017"/>
    <w:rsid w:val="0036387B"/>
    <w:rsid w:val="00364551"/>
    <w:rsid w:val="003F59D2"/>
    <w:rsid w:val="004C4719"/>
    <w:rsid w:val="004F036F"/>
    <w:rsid w:val="00597B14"/>
    <w:rsid w:val="005F5BA9"/>
    <w:rsid w:val="00695C2E"/>
    <w:rsid w:val="006B5E52"/>
    <w:rsid w:val="006D14CC"/>
    <w:rsid w:val="006E40AD"/>
    <w:rsid w:val="006F7E81"/>
    <w:rsid w:val="007424CD"/>
    <w:rsid w:val="00742BA9"/>
    <w:rsid w:val="007927E4"/>
    <w:rsid w:val="007A1A3F"/>
    <w:rsid w:val="007F0DFE"/>
    <w:rsid w:val="007F3434"/>
    <w:rsid w:val="00856FEA"/>
    <w:rsid w:val="00892C50"/>
    <w:rsid w:val="008F056E"/>
    <w:rsid w:val="0097680C"/>
    <w:rsid w:val="009C71C6"/>
    <w:rsid w:val="009D6A4C"/>
    <w:rsid w:val="009E79EE"/>
    <w:rsid w:val="00A03F9A"/>
    <w:rsid w:val="00A170DA"/>
    <w:rsid w:val="00A54636"/>
    <w:rsid w:val="00A66D9C"/>
    <w:rsid w:val="00AC540F"/>
    <w:rsid w:val="00AF6F4A"/>
    <w:rsid w:val="00AF7258"/>
    <w:rsid w:val="00B335B0"/>
    <w:rsid w:val="00B365BE"/>
    <w:rsid w:val="00B41392"/>
    <w:rsid w:val="00BA0030"/>
    <w:rsid w:val="00BB5EB4"/>
    <w:rsid w:val="00BD244E"/>
    <w:rsid w:val="00BF2ABC"/>
    <w:rsid w:val="00C03F68"/>
    <w:rsid w:val="00C272FC"/>
    <w:rsid w:val="00C3673A"/>
    <w:rsid w:val="00C57341"/>
    <w:rsid w:val="00CF5B78"/>
    <w:rsid w:val="00D53A97"/>
    <w:rsid w:val="00D543F6"/>
    <w:rsid w:val="00D8608E"/>
    <w:rsid w:val="00D87DD4"/>
    <w:rsid w:val="00DD16E5"/>
    <w:rsid w:val="00DD4F53"/>
    <w:rsid w:val="00DE3329"/>
    <w:rsid w:val="00E24B90"/>
    <w:rsid w:val="00E9754F"/>
    <w:rsid w:val="00EC5CC1"/>
    <w:rsid w:val="00F35E03"/>
    <w:rsid w:val="00FD4272"/>
    <w:rsid w:val="00FE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3A9EB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semiHidden/>
    <w:unhideWhenUsed/>
    <w:qFormat/>
    <w:rsid w:val="007A1A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semiHidden/>
    <w:unhideWhenUsed/>
    <w:qFormat/>
    <w:rsid w:val="007A1A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semiHidden/>
    <w:rsid w:val="007A1A3F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A1A3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7A1A3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A1A3F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CF5B78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5B78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5B78"/>
    <w:rPr>
      <w:rFonts w:ascii="Times New Roman" w:eastAsia="Times New Roman" w:hAnsi="Times New Roman" w:cs="Vrinda"/>
      <w:b/>
      <w:bCs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CF5B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80656"/>
    <w:rsid w:val="0017158C"/>
    <w:rsid w:val="00253781"/>
    <w:rsid w:val="002C0C12"/>
    <w:rsid w:val="00331893"/>
    <w:rsid w:val="00423476"/>
    <w:rsid w:val="00553136"/>
    <w:rsid w:val="005A6B0F"/>
    <w:rsid w:val="005F0537"/>
    <w:rsid w:val="005F3477"/>
    <w:rsid w:val="00864215"/>
    <w:rsid w:val="00A8432B"/>
    <w:rsid w:val="00AD1E63"/>
    <w:rsid w:val="00B17B18"/>
    <w:rsid w:val="00B271D6"/>
    <w:rsid w:val="00C85536"/>
    <w:rsid w:val="00CF78CE"/>
    <w:rsid w:val="00D421AE"/>
    <w:rsid w:val="00D770BB"/>
    <w:rsid w:val="00DA0F8A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5CBAA-87C6-48C0-AAF4-411CAC9D6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532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9</cp:revision>
  <cp:lastPrinted>2024-10-21T16:11:00Z</cp:lastPrinted>
  <dcterms:created xsi:type="dcterms:W3CDTF">2024-11-04T14:55:00Z</dcterms:created>
  <dcterms:modified xsi:type="dcterms:W3CDTF">2024-11-14T09:53:00Z</dcterms:modified>
</cp:coreProperties>
</file>